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AB" w:rsidRDefault="003B2E90">
      <w:pPr>
        <w:pStyle w:val="Corpsdetexte"/>
        <w:ind w:left="108"/>
        <w:rPr>
          <w:rFonts w:ascii="Times New Roman"/>
          <w:sz w:val="20"/>
        </w:rPr>
      </w:pPr>
      <w:bookmarkStart w:id="0" w:name="_GoBack"/>
      <w:bookmarkEnd w:id="0"/>
      <w:r>
        <w:rPr>
          <w:rFonts w:ascii="Times New Roman"/>
          <w:noProof/>
          <w:sz w:val="20"/>
          <w:lang w:bidi="ar-SA"/>
        </w:rPr>
        <mc:AlternateContent>
          <mc:Choice Requires="wps">
            <w:drawing>
              <wp:inline distT="0" distB="0" distL="0" distR="0">
                <wp:extent cx="6629400" cy="2514600"/>
                <wp:effectExtent l="9525" t="9525" r="9525"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14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4DAB" w:rsidRDefault="003B2E90">
                            <w:pPr>
                              <w:spacing w:before="67"/>
                              <w:ind w:left="2046"/>
                              <w:jc w:val="both"/>
                              <w:rPr>
                                <w:i/>
                              </w:rPr>
                            </w:pPr>
                            <w:r>
                              <w:rPr>
                                <w:w w:val="105"/>
                              </w:rPr>
                              <w:t xml:space="preserve">Certificat d’hérédité – Note d’information </w:t>
                            </w:r>
                            <w:r>
                              <w:rPr>
                                <w:i/>
                                <w:w w:val="105"/>
                              </w:rPr>
                              <w:t>(à lire attentivement)</w:t>
                            </w:r>
                          </w:p>
                          <w:p w:rsidR="00B14DAB" w:rsidRDefault="003B2E90">
                            <w:pPr>
                              <w:pStyle w:val="Corpsdetexte"/>
                              <w:spacing w:before="1"/>
                              <w:ind w:left="146" w:right="136"/>
                              <w:jc w:val="both"/>
                            </w:pPr>
                            <w:r>
                              <w:t xml:space="preserve">Le certificat d’hérédité n’existant dans aucun texte légal, il n’en est pas délivré. Afin de répondre aux organismes demandeurs </w:t>
                            </w:r>
                            <w:r>
                              <w:rPr>
                                <w:i/>
                              </w:rPr>
                              <w:t xml:space="preserve">(notamment établissement bancaire), </w:t>
                            </w:r>
                            <w:r>
                              <w:t>et dans le cadre de la loi du 16 février 2015 relative à la modernisation et à la simplification du droit et des procédures dans les domaines de la justice et des affaires intérieures et de l’article L.312-1-4 du code monétaire et financier*, le formulaire ci-après permet de lister les héritiers et désigner le porte-fort. Aucun héritier ne doit être omis : le conjoint légalement marié, les enfants reconnus ou adoptés, et s’il y a lieu les petits-enfants, parents, frères et soeurs, légataires particuliers ou universels. En cas de doute, il est prudent de contacter un notaire qui, lui est compétent pour établir un certificat d’hérédité ou de notoriété après avoir effectué les recherches nécessaires. Le  maire  ou  les  services  municipaux  n’ont  aucune  qualité  ou  compétence pour établir cette liste dont vous êtes seul responsable. En vous portant « Porte-fort »   pour les autres héritiers, vous devenez personnellement responsable de l’utilisation et de la répartition des fonds et des biens que vous recevez. N’oubliez pas qu’aucun héritier ne peut être écarté d’une succession et que vous leur êtes redevable de vos actions en leur nom, ils peuvent vous demander des comptes.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2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" filled="f">
                <v:textbox inset="0,0,0,0">
                  <w:txbxContent>
                    <w:p w:rsidR="00B14DAB" w:rsidRDefault="003B2E90">
                      <w:pPr>
                        <w:spacing w:before="67"/>
                        <w:ind w:left="2046"/>
                        <w:jc w:val="both"/>
                        <w:rPr>
                          <w:i/>
                        </w:rPr>
                      </w:pPr>
                      <w:r>
                        <w:rPr>
                          <w:w w:val="105"/>
                        </w:rPr>
                        <w:t xml:space="preserve">Certificat d’hérédité – Note d’information </w:t>
                      </w:r>
                      <w:r>
                        <w:rPr>
                          <w:i/>
                          <w:w w:val="105"/>
                        </w:rPr>
                        <w:t>(à lire attentivement)</w:t>
                      </w:r>
                    </w:p>
                    <w:p w:rsidR="00B14DAB" w:rsidRDefault="003B2E90">
                      <w:pPr>
                        <w:pStyle w:val="Corpsdetexte"/>
                        <w:spacing w:before="1"/>
                        <w:ind w:left="146" w:right="136"/>
                        <w:jc w:val="both"/>
                      </w:pPr>
                      <w:r>
                        <w:t xml:space="preserve">Le certificat d’hérédité n’existant dans aucun texte légal, il n’en est pas délivré. Afin de répondre aux organismes demandeurs </w:t>
                      </w:r>
                      <w:r>
                        <w:rPr>
                          <w:i/>
                        </w:rPr>
                        <w:t xml:space="preserve">(notamment établissement bancaire), </w:t>
                      </w:r>
                      <w:r>
                        <w:t>et dans le cadre de la loi du 16 février 2015 relative à la modernisation et à la simplification du droit et des procédures dans les domaines de la justice et des affaires intérieures et de l’article L.312-1-4 du code monétaire et financier*, le formulaire ci-après permet de lister les héritiers et désigner le porte-fort. Aucun héritier ne doit être omis : le conjoint légalement marié, les enfants reconnus ou adoptés, et s’il y a lieu les petits-enfants, parents, frères et soeurs, légataires particuliers ou universels. En cas de doute, il est prudent de contacter un notaire qui, lui est compétent pour établir un certificat d’hérédité ou de notoriété après avoir effectué les recherches nécessaires. Le  maire  ou  les  services  municipaux  n’ont  aucune  qualité  ou  compétence pour établir cette liste dont vous êtes seul responsable. En vous portant « Porte-fort »   pour les autres héritiers, vous devenez personnellement responsable de l’utilisation et de la répartition des fonds et des biens que vous recevez. N’oubliez pas qu’aucun héritier ne peut être écarté d’une succession et que vous leur êtes redevable de vos actions en leur nom, ils peuvent vous demander des comptes.</w:t>
                      </w:r>
                    </w:p>
                  </w:txbxContent>
                </v:textbox>
                <w10:anchorlock/>
              </v:shape>
            </w:pict>
          </mc:Fallback>
        </mc:AlternateContent>
      </w:r>
    </w:p>
    <w:p w:rsidR="00B14DAB" w:rsidRDefault="003B2E90">
      <w:pPr>
        <w:pStyle w:val="Corpsdetexte"/>
        <w:spacing w:before="31"/>
        <w:ind w:left="3658" w:right="3596"/>
        <w:jc w:val="center"/>
      </w:pPr>
      <w:r>
        <w:t>ATTESTATION SUR L’HONNEUR</w:t>
      </w:r>
    </w:p>
    <w:p w:rsidR="00B14DAB" w:rsidRDefault="00B14DAB">
      <w:pPr>
        <w:pStyle w:val="Corpsdetexte"/>
        <w:spacing w:before="1"/>
      </w:pPr>
    </w:p>
    <w:p w:rsidR="00B14DAB" w:rsidRDefault="003B2E90">
      <w:pPr>
        <w:spacing w:line="252" w:lineRule="exact"/>
        <w:ind w:left="835"/>
      </w:pPr>
      <w:r>
        <w:t xml:space="preserve">Je soussigné(e) </w:t>
      </w:r>
      <w:r>
        <w:rPr>
          <w:i/>
        </w:rPr>
        <w:t xml:space="preserve">(nom et prénom du signataire) </w:t>
      </w:r>
      <w:r>
        <w:t>:………………………………………………….</w:t>
      </w:r>
    </w:p>
    <w:p w:rsidR="00B14DAB" w:rsidRDefault="003B2E90">
      <w:pPr>
        <w:spacing w:line="252" w:lineRule="exact"/>
        <w:ind w:left="835"/>
      </w:pPr>
      <w:r>
        <w:t xml:space="preserve">Demeurant </w:t>
      </w:r>
      <w:r>
        <w:rPr>
          <w:i/>
        </w:rPr>
        <w:t xml:space="preserve">(adresse complète du signataire) </w:t>
      </w:r>
      <w:r>
        <w:t>:</w:t>
      </w:r>
    </w:p>
    <w:p w:rsidR="00B14DAB" w:rsidRDefault="003B2E90">
      <w:pPr>
        <w:pStyle w:val="Corpsdetexte"/>
        <w:spacing w:before="4" w:line="252" w:lineRule="exact"/>
        <w:ind w:left="835"/>
      </w:pPr>
      <w:r>
        <w:t>……………………………………………………………………………………………………………</w:t>
      </w:r>
    </w:p>
    <w:p w:rsidR="00B14DAB" w:rsidRDefault="003B2E90">
      <w:pPr>
        <w:pStyle w:val="Corpsdetexte"/>
        <w:spacing w:line="252" w:lineRule="exact"/>
        <w:ind w:left="835"/>
      </w:pPr>
      <w:r>
        <w:t>……………………………………………………………………………………………………………</w:t>
      </w:r>
    </w:p>
    <w:p w:rsidR="00B14DAB" w:rsidRDefault="003B2E90">
      <w:pPr>
        <w:pStyle w:val="Corpsdetexte"/>
        <w:spacing w:before="3" w:line="237" w:lineRule="auto"/>
        <w:ind w:left="835" w:right="783"/>
        <w:jc w:val="both"/>
      </w:pPr>
      <w:r>
        <w:rPr>
          <w:spacing w:val="-1"/>
        </w:rPr>
        <w:t xml:space="preserve">…………………………………………………………………………………………………………… </w:t>
      </w:r>
      <w:r>
        <w:rPr>
          <w:w w:val="105"/>
        </w:rPr>
        <w:t>Certifie</w:t>
      </w:r>
      <w:r>
        <w:rPr>
          <w:spacing w:val="-28"/>
          <w:w w:val="105"/>
        </w:rPr>
        <w:t xml:space="preserve"> </w:t>
      </w:r>
      <w:r>
        <w:rPr>
          <w:w w:val="105"/>
        </w:rPr>
        <w:t>sur</w:t>
      </w:r>
      <w:r>
        <w:rPr>
          <w:spacing w:val="-26"/>
          <w:w w:val="105"/>
        </w:rPr>
        <w:t xml:space="preserve"> </w:t>
      </w:r>
      <w:r>
        <w:rPr>
          <w:w w:val="105"/>
        </w:rPr>
        <w:t>l’honneur</w:t>
      </w:r>
      <w:r>
        <w:rPr>
          <w:spacing w:val="-25"/>
          <w:w w:val="105"/>
        </w:rPr>
        <w:t xml:space="preserve"> </w:t>
      </w:r>
      <w:r>
        <w:rPr>
          <w:w w:val="105"/>
        </w:rPr>
        <w:t>que</w:t>
      </w:r>
      <w:r>
        <w:rPr>
          <w:spacing w:val="-26"/>
          <w:w w:val="105"/>
        </w:rPr>
        <w:t xml:space="preserve"> </w:t>
      </w:r>
      <w:r>
        <w:rPr>
          <w:i/>
          <w:w w:val="105"/>
        </w:rPr>
        <w:t>(nom</w:t>
      </w:r>
      <w:r>
        <w:rPr>
          <w:i/>
          <w:spacing w:val="-25"/>
          <w:w w:val="105"/>
        </w:rPr>
        <w:t xml:space="preserve"> </w:t>
      </w:r>
      <w:r>
        <w:rPr>
          <w:i/>
          <w:w w:val="105"/>
        </w:rPr>
        <w:t>et</w:t>
      </w:r>
      <w:r>
        <w:rPr>
          <w:i/>
          <w:spacing w:val="-24"/>
          <w:w w:val="105"/>
        </w:rPr>
        <w:t xml:space="preserve"> </w:t>
      </w:r>
      <w:r>
        <w:rPr>
          <w:i/>
          <w:w w:val="105"/>
        </w:rPr>
        <w:t>prénom</w:t>
      </w:r>
      <w:r>
        <w:rPr>
          <w:i/>
          <w:spacing w:val="-27"/>
          <w:w w:val="105"/>
        </w:rPr>
        <w:t xml:space="preserve"> </w:t>
      </w:r>
      <w:r>
        <w:rPr>
          <w:i/>
          <w:w w:val="105"/>
        </w:rPr>
        <w:t>du</w:t>
      </w:r>
      <w:r>
        <w:rPr>
          <w:i/>
          <w:spacing w:val="-27"/>
          <w:w w:val="105"/>
        </w:rPr>
        <w:t xml:space="preserve"> </w:t>
      </w:r>
      <w:r>
        <w:rPr>
          <w:i/>
          <w:w w:val="105"/>
        </w:rPr>
        <w:t>défunt)</w:t>
      </w:r>
      <w:r>
        <w:rPr>
          <w:i/>
          <w:spacing w:val="-25"/>
          <w:w w:val="105"/>
        </w:rPr>
        <w:t xml:space="preserve"> </w:t>
      </w:r>
      <w:r>
        <w:rPr>
          <w:w w:val="105"/>
        </w:rPr>
        <w:t xml:space="preserve">:…………………………………………. </w:t>
      </w:r>
      <w:r>
        <w:t xml:space="preserve">Est décédé(e) le : ……………………………………… </w:t>
      </w:r>
      <w:r>
        <w:rPr>
          <w:spacing w:val="5"/>
        </w:rPr>
        <w:t xml:space="preserve"> </w:t>
      </w:r>
      <w:r>
        <w:t>à…………………………………………...</w:t>
      </w:r>
    </w:p>
    <w:p w:rsidR="00B14DAB" w:rsidRDefault="00B14DAB">
      <w:pPr>
        <w:pStyle w:val="Corpsdetexte"/>
        <w:spacing w:before="2"/>
      </w:pPr>
    </w:p>
    <w:p w:rsidR="00B14DAB" w:rsidRDefault="003B2E90">
      <w:pPr>
        <w:pStyle w:val="Corpsdetexte"/>
        <w:ind w:left="836"/>
        <w:jc w:val="both"/>
      </w:pPr>
      <w:r>
        <w:rPr>
          <w:w w:val="110"/>
        </w:rPr>
        <w:t>Et qu’il (elle) a laissé pour seul héritiers apparents :</w:t>
      </w:r>
    </w:p>
    <w:p w:rsidR="00B14DAB" w:rsidRDefault="00B14DAB">
      <w:pPr>
        <w:pStyle w:val="Corpsdetexte"/>
        <w:spacing w:before="5"/>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600"/>
        <w:gridCol w:w="1800"/>
        <w:gridCol w:w="3060"/>
      </w:tblGrid>
      <w:tr w:rsidR="00B14DAB">
        <w:trPr>
          <w:trHeight w:val="1012"/>
        </w:trPr>
        <w:tc>
          <w:tcPr>
            <w:tcW w:w="1980" w:type="dxa"/>
          </w:tcPr>
          <w:p w:rsidR="00B14DAB" w:rsidRDefault="003B2E90">
            <w:pPr>
              <w:pStyle w:val="TableParagraph"/>
              <w:spacing w:line="248" w:lineRule="exact"/>
              <w:ind w:left="417" w:right="407"/>
              <w:jc w:val="center"/>
            </w:pPr>
            <w:r>
              <w:rPr>
                <w:w w:val="110"/>
              </w:rPr>
              <w:t>Lien</w:t>
            </w:r>
          </w:p>
          <w:p w:rsidR="00B14DAB" w:rsidRDefault="003B2E90">
            <w:pPr>
              <w:pStyle w:val="TableParagraph"/>
              <w:spacing w:line="252" w:lineRule="exact"/>
              <w:ind w:left="417" w:right="408"/>
              <w:jc w:val="center"/>
            </w:pPr>
            <w:r>
              <w:rPr>
                <w:w w:val="105"/>
              </w:rPr>
              <w:t>de parenté</w:t>
            </w:r>
          </w:p>
        </w:tc>
        <w:tc>
          <w:tcPr>
            <w:tcW w:w="3600" w:type="dxa"/>
          </w:tcPr>
          <w:p w:rsidR="00B14DAB" w:rsidRDefault="003B2E90">
            <w:pPr>
              <w:pStyle w:val="TableParagraph"/>
              <w:ind w:left="393" w:hanging="44"/>
            </w:pPr>
            <w:r>
              <w:rPr>
                <w:w w:val="110"/>
              </w:rPr>
              <w:t>Nom patronymique suivi du nom marital le cas échéant</w:t>
            </w:r>
          </w:p>
        </w:tc>
        <w:tc>
          <w:tcPr>
            <w:tcW w:w="1800" w:type="dxa"/>
          </w:tcPr>
          <w:p w:rsidR="00B14DAB" w:rsidRDefault="003B2E90">
            <w:pPr>
              <w:pStyle w:val="TableParagraph"/>
              <w:spacing w:line="248" w:lineRule="exact"/>
              <w:ind w:left="489"/>
            </w:pPr>
            <w:r>
              <w:rPr>
                <w:w w:val="110"/>
              </w:rPr>
              <w:t>Prénom</w:t>
            </w:r>
          </w:p>
        </w:tc>
        <w:tc>
          <w:tcPr>
            <w:tcW w:w="3060" w:type="dxa"/>
          </w:tcPr>
          <w:p w:rsidR="00B14DAB" w:rsidRDefault="003B2E90">
            <w:pPr>
              <w:pStyle w:val="TableParagraph"/>
              <w:spacing w:line="248" w:lineRule="exact"/>
              <w:ind w:left="583" w:right="574"/>
              <w:jc w:val="center"/>
            </w:pPr>
            <w:r>
              <w:rPr>
                <w:w w:val="110"/>
              </w:rPr>
              <w:t>Adresse</w:t>
            </w:r>
          </w:p>
          <w:p w:rsidR="00B14DAB" w:rsidRDefault="003B2E90">
            <w:pPr>
              <w:pStyle w:val="TableParagraph"/>
              <w:spacing w:line="252" w:lineRule="exact"/>
              <w:ind w:left="583" w:right="575"/>
              <w:jc w:val="center"/>
            </w:pPr>
            <w:r>
              <w:rPr>
                <w:spacing w:val="-1"/>
                <w:w w:val="110"/>
              </w:rPr>
              <w:t>et</w:t>
            </w:r>
            <w:r>
              <w:rPr>
                <w:spacing w:val="-44"/>
                <w:w w:val="110"/>
              </w:rPr>
              <w:t xml:space="preserve"> </w:t>
            </w:r>
            <w:r>
              <w:rPr>
                <w:spacing w:val="-1"/>
                <w:w w:val="110"/>
              </w:rPr>
              <w:t>éventuellement</w:t>
            </w:r>
          </w:p>
          <w:p w:rsidR="00B14DAB" w:rsidRDefault="003B2E90">
            <w:pPr>
              <w:pStyle w:val="TableParagraph"/>
              <w:spacing w:before="6" w:line="252" w:lineRule="exact"/>
              <w:ind w:left="623" w:right="611" w:hanging="3"/>
              <w:jc w:val="center"/>
            </w:pPr>
            <w:r>
              <w:rPr>
                <w:w w:val="110"/>
              </w:rPr>
              <w:t xml:space="preserve">renseignements </w:t>
            </w:r>
            <w:r>
              <w:rPr>
                <w:spacing w:val="-3"/>
                <w:w w:val="110"/>
              </w:rPr>
              <w:t>complémentaires</w:t>
            </w: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r w:rsidR="00B14DAB">
        <w:trPr>
          <w:trHeight w:val="506"/>
        </w:trPr>
        <w:tc>
          <w:tcPr>
            <w:tcW w:w="1980" w:type="dxa"/>
          </w:tcPr>
          <w:p w:rsidR="00B14DAB" w:rsidRDefault="00B14DAB">
            <w:pPr>
              <w:pStyle w:val="TableParagraph"/>
              <w:rPr>
                <w:rFonts w:ascii="Times New Roman"/>
              </w:rPr>
            </w:pPr>
          </w:p>
        </w:tc>
        <w:tc>
          <w:tcPr>
            <w:tcW w:w="3600" w:type="dxa"/>
          </w:tcPr>
          <w:p w:rsidR="00B14DAB" w:rsidRDefault="00B14DAB">
            <w:pPr>
              <w:pStyle w:val="TableParagraph"/>
              <w:rPr>
                <w:rFonts w:ascii="Times New Roman"/>
              </w:rPr>
            </w:pPr>
          </w:p>
        </w:tc>
        <w:tc>
          <w:tcPr>
            <w:tcW w:w="1800" w:type="dxa"/>
          </w:tcPr>
          <w:p w:rsidR="00B14DAB" w:rsidRDefault="00B14DAB">
            <w:pPr>
              <w:pStyle w:val="TableParagraph"/>
              <w:rPr>
                <w:rFonts w:ascii="Times New Roman"/>
              </w:rPr>
            </w:pPr>
          </w:p>
        </w:tc>
        <w:tc>
          <w:tcPr>
            <w:tcW w:w="3060" w:type="dxa"/>
          </w:tcPr>
          <w:p w:rsidR="00B14DAB" w:rsidRDefault="00B14DAB">
            <w:pPr>
              <w:pStyle w:val="TableParagraph"/>
              <w:rPr>
                <w:rFonts w:ascii="Times New Roman"/>
              </w:rPr>
            </w:pPr>
          </w:p>
        </w:tc>
      </w:tr>
    </w:tbl>
    <w:p w:rsidR="00B14DAB" w:rsidRDefault="00B14DAB">
      <w:pPr>
        <w:pStyle w:val="Corpsdetexte"/>
        <w:spacing w:before="8"/>
        <w:rPr>
          <w:sz w:val="21"/>
        </w:rPr>
      </w:pPr>
    </w:p>
    <w:p w:rsidR="00B14DAB" w:rsidRDefault="003B2E90">
      <w:pPr>
        <w:pStyle w:val="Corpsdetexte"/>
        <w:ind w:left="835" w:right="770"/>
        <w:jc w:val="both"/>
      </w:pPr>
      <w:r>
        <w:t>Le(s)quel(s) seul(s) ont le droit de toucher et recevoir toutes les sommes qui peuvent revenir et appartenir à la succession du défunt susnommé. La succession ne comporte aucun bien immobilier.</w:t>
      </w:r>
    </w:p>
    <w:p w:rsidR="00B14DAB" w:rsidRDefault="003B2E90">
      <w:pPr>
        <w:pStyle w:val="Corpsdetexte"/>
        <w:ind w:left="838" w:right="2856" w:hanging="3"/>
        <w:jc w:val="both"/>
      </w:pPr>
      <w:r>
        <w:t>En foi de quoi, je me porte fort et caution au nom des autres cohéritiers. Fait à : …………………………………………….Le :………………………</w:t>
      </w:r>
    </w:p>
    <w:p w:rsidR="00B14DAB" w:rsidRDefault="00B14DAB">
      <w:pPr>
        <w:pStyle w:val="Corpsdetexte"/>
        <w:spacing w:before="1"/>
      </w:pPr>
    </w:p>
    <w:p w:rsidR="00B14DAB" w:rsidRDefault="003B2E90">
      <w:pPr>
        <w:ind w:left="838"/>
        <w:jc w:val="both"/>
        <w:rPr>
          <w:i/>
        </w:rPr>
      </w:pPr>
      <w:r>
        <w:t xml:space="preserve">Le Porte-fort </w:t>
      </w:r>
      <w:r>
        <w:rPr>
          <w:i/>
        </w:rPr>
        <w:t>(signature) :</w:t>
      </w:r>
    </w:p>
    <w:p w:rsidR="00B14DAB" w:rsidRDefault="00B14DAB">
      <w:pPr>
        <w:jc w:val="both"/>
        <w:sectPr w:rsidR="00B14DAB">
          <w:type w:val="continuous"/>
          <w:pgSz w:w="11900" w:h="16840"/>
          <w:pgMar w:top="720" w:right="640" w:bottom="280" w:left="580" w:header="720" w:footer="720" w:gutter="0"/>
          <w:cols w:space="720"/>
        </w:sectPr>
      </w:pPr>
    </w:p>
    <w:p w:rsidR="00B14DAB" w:rsidRDefault="003B2E90">
      <w:pPr>
        <w:pStyle w:val="Corpsdetexte"/>
        <w:ind w:left="718"/>
        <w:rPr>
          <w:sz w:val="20"/>
        </w:rPr>
      </w:pPr>
      <w:r>
        <w:rPr>
          <w:noProof/>
          <w:sz w:val="20"/>
          <w:lang w:bidi="ar-SA"/>
        </w:rPr>
        <w:lastRenderedPageBreak/>
        <mc:AlternateContent>
          <mc:Choice Requires="wps">
            <w:drawing>
              <wp:inline distT="0" distB="0" distL="0" distR="0">
                <wp:extent cx="5904230" cy="192405"/>
                <wp:effectExtent l="9525" t="9525" r="10795" b="76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4DAB" w:rsidRDefault="003B2E90">
                            <w:pPr>
                              <w:pStyle w:val="Corpsdetexte"/>
                              <w:spacing w:before="14"/>
                              <w:ind w:left="3597" w:right="3597"/>
                              <w:jc w:val="center"/>
                            </w:pPr>
                            <w:r>
                              <w:rPr>
                                <w:w w:val="105"/>
                              </w:rPr>
                              <w:t>Textes de référence</w:t>
                            </w:r>
                          </w:p>
                        </w:txbxContent>
                      </wps:txbx>
                      <wps:bodyPr rot="0" vert="horz" wrap="square" lIns="0" tIns="0" rIns="0" bIns="0" anchor="t" anchorCtr="0" upright="1">
                        <a:noAutofit/>
                      </wps:bodyPr>
                    </wps:wsp>
                  </a:graphicData>
                </a:graphic>
              </wp:inline>
            </w:drawing>
          </mc:Choice>
          <mc:Fallback>
            <w:pict>
              <v:shape id="Text Box 3" o:spid="_x0000_s1027" type="#_x0000_t202" style="width:464.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" filled="f" strokeweight=".48pt">
                <v:textbox inset="0,0,0,0">
                  <w:txbxContent>
                    <w:p w:rsidR="00B14DAB" w:rsidRDefault="003B2E90">
                      <w:pPr>
                        <w:pStyle w:val="Corpsdetexte"/>
                        <w:spacing w:before="14"/>
                        <w:ind w:left="3597" w:right="3597"/>
                        <w:jc w:val="center"/>
                      </w:pPr>
                      <w:r>
                        <w:rPr>
                          <w:w w:val="105"/>
                        </w:rPr>
                        <w:t>Textes de référence</w:t>
                      </w:r>
                    </w:p>
                  </w:txbxContent>
                </v:textbox>
                <w10:anchorlock/>
              </v:shape>
            </w:pict>
          </mc:Fallback>
        </mc:AlternateContent>
      </w:r>
    </w:p>
    <w:p w:rsidR="00B14DAB" w:rsidRDefault="00B14DAB">
      <w:pPr>
        <w:pStyle w:val="Corpsdetexte"/>
        <w:spacing w:before="7"/>
        <w:rPr>
          <w:i/>
          <w:sz w:val="13"/>
        </w:rPr>
      </w:pPr>
    </w:p>
    <w:p w:rsidR="00B14DAB" w:rsidRDefault="003B2E90">
      <w:pPr>
        <w:pStyle w:val="Paragraphedeliste"/>
        <w:numPr>
          <w:ilvl w:val="0"/>
          <w:numId w:val="1"/>
        </w:numPr>
        <w:tabs>
          <w:tab w:val="left" w:pos="1557"/>
        </w:tabs>
        <w:spacing w:before="93"/>
        <w:ind w:right="767" w:hanging="360"/>
        <w:jc w:val="both"/>
      </w:pPr>
      <w:r>
        <w:t>Circ. NOR: JUSC1504802C du 19 février  2015, de présentation des dispositions de la loi n° 2015-177 du 16 février 2015 relative à la modernisation et à la simplification du droit et des procédures dans les domaines de la justice et des affaires intérieures</w:t>
      </w:r>
      <w:r>
        <w:rPr>
          <w:spacing w:val="-42"/>
        </w:rPr>
        <w:t xml:space="preserve"> </w:t>
      </w:r>
      <w:r>
        <w:t>;</w:t>
      </w:r>
    </w:p>
    <w:p w:rsidR="00B14DAB" w:rsidRDefault="003B2E90">
      <w:pPr>
        <w:pStyle w:val="Paragraphedeliste"/>
        <w:numPr>
          <w:ilvl w:val="0"/>
          <w:numId w:val="1"/>
        </w:numPr>
        <w:tabs>
          <w:tab w:val="left" w:pos="1557"/>
        </w:tabs>
        <w:ind w:right="770" w:hanging="360"/>
        <w:jc w:val="both"/>
      </w:pPr>
      <w:r>
        <w:t>Loi n° 2015-177 du 16 février 2015 relative à la modernisation et à la simplification dudroit et des procédures dans les domaines de la justice et des affaires</w:t>
      </w:r>
      <w:r>
        <w:rPr>
          <w:spacing w:val="-37"/>
        </w:rPr>
        <w:t xml:space="preserve"> </w:t>
      </w:r>
      <w:r>
        <w:t>intérieures.</w:t>
      </w:r>
    </w:p>
    <w:p w:rsidR="00B14DAB" w:rsidRDefault="00B14DAB">
      <w:pPr>
        <w:pStyle w:val="Corpsdetexte"/>
        <w:spacing w:before="6"/>
        <w:rPr>
          <w:sz w:val="21"/>
        </w:rPr>
      </w:pPr>
    </w:p>
    <w:p w:rsidR="00B14DAB" w:rsidRDefault="003B2E90">
      <w:pPr>
        <w:pStyle w:val="Corpsdetexte"/>
        <w:ind w:left="836"/>
      </w:pPr>
      <w:r>
        <w:rPr>
          <w:noProof/>
          <w:lang w:bidi="ar-SA"/>
        </w:rPr>
        <mc:AlternateContent>
          <mc:Choice Requires="wps">
            <w:drawing>
              <wp:anchor distT="0" distB="0" distL="0" distR="0" simplePos="0" relativeHeight="251660288" behindDoc="1" locked="0" layoutInCell="1" allowOverlap="1">
                <wp:simplePos x="0" y="0"/>
                <wp:positionH relativeFrom="page">
                  <wp:posOffset>880745</wp:posOffset>
                </wp:positionH>
                <wp:positionV relativeFrom="paragraph">
                  <wp:posOffset>179705</wp:posOffset>
                </wp:positionV>
                <wp:extent cx="57975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7A00"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4.15pt" to="52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t0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" strokeweight=".48pt">
                <w10:wrap type="topAndBottom" anchorx="page"/>
              </v:line>
            </w:pict>
          </mc:Fallback>
        </mc:AlternateContent>
      </w:r>
      <w:r>
        <w:rPr>
          <w:w w:val="110"/>
        </w:rPr>
        <w:t>Art. L. 312-1-4 du code monétaire et financier (mis à jour loi du 16 février 2015)</w:t>
      </w:r>
    </w:p>
    <w:p w:rsidR="00B14DAB" w:rsidRDefault="00B14DAB">
      <w:pPr>
        <w:pStyle w:val="Corpsdetexte"/>
        <w:spacing w:before="3"/>
        <w:rPr>
          <w:sz w:val="13"/>
        </w:rPr>
      </w:pPr>
    </w:p>
    <w:p w:rsidR="00B14DAB" w:rsidRDefault="003B2E90">
      <w:pPr>
        <w:pStyle w:val="Corpsdetexte"/>
        <w:spacing w:before="94"/>
        <w:ind w:left="835" w:right="764"/>
        <w:jc w:val="both"/>
      </w:pPr>
      <w:r>
        <w:rPr>
          <w:w w:val="105"/>
        </w:rPr>
        <w:t>La personne qui a qualité pour pourvoir aux funérailles du défunt peut obtenir, sur présentation de la facture des obsèques, le débit sur les comptes de paiement du</w:t>
      </w:r>
      <w:r>
        <w:rPr>
          <w:spacing w:val="64"/>
          <w:w w:val="105"/>
        </w:rPr>
        <w:t xml:space="preserve"> </w:t>
      </w:r>
      <w:r>
        <w:rPr>
          <w:w w:val="105"/>
        </w:rPr>
        <w:t>défunt, dans la limite du solde créditeur de ces comptes, des sommes nécessaires au</w:t>
      </w:r>
      <w:r>
        <w:rPr>
          <w:spacing w:val="64"/>
          <w:w w:val="105"/>
        </w:rPr>
        <w:t xml:space="preserve"> </w:t>
      </w:r>
      <w:r>
        <w:rPr>
          <w:w w:val="105"/>
        </w:rPr>
        <w:t>paiement de tout ou partie des frais funéraires, auprès des banques teneuses desdits</w:t>
      </w:r>
      <w:r>
        <w:rPr>
          <w:spacing w:val="64"/>
          <w:w w:val="105"/>
        </w:rPr>
        <w:t xml:space="preserve"> </w:t>
      </w:r>
      <w:r>
        <w:rPr>
          <w:w w:val="105"/>
        </w:rPr>
        <w:t>comptes,</w:t>
      </w:r>
      <w:r>
        <w:rPr>
          <w:spacing w:val="-19"/>
          <w:w w:val="105"/>
        </w:rPr>
        <w:t xml:space="preserve"> </w:t>
      </w:r>
      <w:r>
        <w:rPr>
          <w:w w:val="105"/>
        </w:rPr>
        <w:t>dans</w:t>
      </w:r>
      <w:r>
        <w:rPr>
          <w:spacing w:val="-18"/>
          <w:w w:val="105"/>
        </w:rPr>
        <w:t xml:space="preserve"> </w:t>
      </w:r>
      <w:r>
        <w:rPr>
          <w:w w:val="105"/>
        </w:rPr>
        <w:t>la</w:t>
      </w:r>
      <w:r>
        <w:rPr>
          <w:spacing w:val="-21"/>
          <w:w w:val="105"/>
        </w:rPr>
        <w:t xml:space="preserve"> </w:t>
      </w:r>
      <w:r>
        <w:rPr>
          <w:w w:val="105"/>
        </w:rPr>
        <w:t>limite</w:t>
      </w:r>
      <w:r>
        <w:rPr>
          <w:spacing w:val="-19"/>
          <w:w w:val="105"/>
        </w:rPr>
        <w:t xml:space="preserve"> </w:t>
      </w:r>
      <w:r>
        <w:rPr>
          <w:w w:val="105"/>
        </w:rPr>
        <w:t>d'un</w:t>
      </w:r>
      <w:r>
        <w:rPr>
          <w:spacing w:val="-20"/>
          <w:w w:val="105"/>
        </w:rPr>
        <w:t xml:space="preserve"> </w:t>
      </w:r>
      <w:r>
        <w:rPr>
          <w:w w:val="105"/>
        </w:rPr>
        <w:t>montant</w:t>
      </w:r>
      <w:r>
        <w:rPr>
          <w:spacing w:val="-19"/>
          <w:w w:val="105"/>
        </w:rPr>
        <w:t xml:space="preserve"> </w:t>
      </w:r>
      <w:r>
        <w:rPr>
          <w:w w:val="105"/>
        </w:rPr>
        <w:t>fixé</w:t>
      </w:r>
      <w:r>
        <w:rPr>
          <w:spacing w:val="-18"/>
          <w:w w:val="105"/>
        </w:rPr>
        <w:t xml:space="preserve"> </w:t>
      </w:r>
      <w:r>
        <w:rPr>
          <w:w w:val="105"/>
        </w:rPr>
        <w:t>par</w:t>
      </w:r>
      <w:r>
        <w:rPr>
          <w:spacing w:val="-18"/>
          <w:w w:val="105"/>
        </w:rPr>
        <w:t xml:space="preserve"> </w:t>
      </w:r>
      <w:r>
        <w:rPr>
          <w:w w:val="105"/>
        </w:rPr>
        <w:t>arrêté</w:t>
      </w:r>
      <w:r>
        <w:rPr>
          <w:spacing w:val="-19"/>
          <w:w w:val="105"/>
        </w:rPr>
        <w:t xml:space="preserve"> </w:t>
      </w:r>
      <w:r>
        <w:rPr>
          <w:w w:val="105"/>
        </w:rPr>
        <w:t>du</w:t>
      </w:r>
      <w:r>
        <w:rPr>
          <w:spacing w:val="-20"/>
          <w:w w:val="105"/>
        </w:rPr>
        <w:t xml:space="preserve"> </w:t>
      </w:r>
      <w:r>
        <w:rPr>
          <w:w w:val="105"/>
        </w:rPr>
        <w:t>ministre</w:t>
      </w:r>
      <w:r>
        <w:rPr>
          <w:spacing w:val="-20"/>
          <w:w w:val="105"/>
        </w:rPr>
        <w:t xml:space="preserve"> </w:t>
      </w:r>
      <w:r>
        <w:rPr>
          <w:w w:val="105"/>
        </w:rPr>
        <w:t>chargé</w:t>
      </w:r>
      <w:r>
        <w:rPr>
          <w:spacing w:val="-21"/>
          <w:w w:val="105"/>
        </w:rPr>
        <w:t xml:space="preserve"> </w:t>
      </w:r>
      <w:r>
        <w:rPr>
          <w:w w:val="105"/>
        </w:rPr>
        <w:t>de</w:t>
      </w:r>
      <w:r>
        <w:rPr>
          <w:spacing w:val="-20"/>
          <w:w w:val="105"/>
        </w:rPr>
        <w:t xml:space="preserve"> </w:t>
      </w:r>
      <w:r>
        <w:rPr>
          <w:w w:val="105"/>
        </w:rPr>
        <w:t>l'économie.</w:t>
      </w:r>
    </w:p>
    <w:p w:rsidR="00B14DAB" w:rsidRDefault="00B14DAB">
      <w:pPr>
        <w:pStyle w:val="Corpsdetexte"/>
        <w:spacing w:before="2"/>
        <w:rPr>
          <w:sz w:val="24"/>
        </w:rPr>
      </w:pPr>
    </w:p>
    <w:p w:rsidR="00B14DAB" w:rsidRDefault="003B2E90">
      <w:pPr>
        <w:pStyle w:val="Corpsdetexte"/>
        <w:ind w:left="836"/>
        <w:jc w:val="both"/>
      </w:pPr>
      <w:r>
        <w:rPr>
          <w:w w:val="105"/>
        </w:rPr>
        <w:t>Sous réserve de justifier de sa qualité d'héritier, tout successible en ligne directe peut :</w:t>
      </w:r>
    </w:p>
    <w:p w:rsidR="00B14DAB" w:rsidRDefault="00B14DAB">
      <w:pPr>
        <w:pStyle w:val="Corpsdetexte"/>
        <w:spacing w:before="4"/>
        <w:rPr>
          <w:sz w:val="24"/>
        </w:rPr>
      </w:pPr>
    </w:p>
    <w:p w:rsidR="00B14DAB" w:rsidRDefault="003B2E90">
      <w:pPr>
        <w:pStyle w:val="Corpsdetexte"/>
        <w:ind w:left="836" w:right="765"/>
        <w:jc w:val="both"/>
      </w:pPr>
      <w:r>
        <w:t>1°  Obtenir, sur  présentation des factures,  du bon de commande des obsèques ou des   avis d'imposition, le débit sur les comptes de paiement du défunt, dans la limite des soldes créditeurs de ces comptes, des sommes nécessaires au paiement de tout ou partie des actes conservatoires, au sens du 1° de l'article 784 du code civil,  auprès  des établissements de crédit teneurs desdits comptes, dans la limite d'un montant fixé par arrêté du ministre chargé de l'économie</w:t>
      </w:r>
      <w:r>
        <w:rPr>
          <w:spacing w:val="-5"/>
        </w:rPr>
        <w:t xml:space="preserve"> </w:t>
      </w:r>
      <w:r>
        <w:t>;</w:t>
      </w:r>
    </w:p>
    <w:p w:rsidR="00B14DAB" w:rsidRDefault="00B14DAB">
      <w:pPr>
        <w:pStyle w:val="Corpsdetexte"/>
        <w:spacing w:before="9"/>
        <w:rPr>
          <w:sz w:val="24"/>
        </w:rPr>
      </w:pPr>
    </w:p>
    <w:p w:rsidR="00B14DAB" w:rsidRDefault="003B2E90">
      <w:pPr>
        <w:pStyle w:val="Corpsdetexte"/>
        <w:ind w:left="836" w:right="767"/>
        <w:jc w:val="both"/>
      </w:pPr>
      <w:r>
        <w:t>2° Obtenir la clôture des comptes du défunt et le versement des sommes y figurant, dès lors que le montant total des sommes détenues par l'établissement est inférieur à un montant fixé par arrêté du ministre chargé de l'économie.</w:t>
      </w:r>
    </w:p>
    <w:p w:rsidR="00B14DAB" w:rsidRDefault="00B14DAB">
      <w:pPr>
        <w:pStyle w:val="Corpsdetexte"/>
        <w:spacing w:before="11"/>
        <w:rPr>
          <w:sz w:val="23"/>
        </w:rPr>
      </w:pPr>
    </w:p>
    <w:p w:rsidR="00B14DAB" w:rsidRDefault="003B2E90">
      <w:pPr>
        <w:pStyle w:val="Corpsdetexte"/>
        <w:ind w:left="836"/>
      </w:pPr>
      <w:r>
        <w:rPr>
          <w:w w:val="110"/>
        </w:rPr>
        <w:t>Pour l'application des 1° et 2°, l'héritier justifie de sa qualité d'héritier auprès de l'établissement de crédit teneur desdits comptes :</w:t>
      </w:r>
    </w:p>
    <w:p w:rsidR="00B14DAB" w:rsidRDefault="003B2E90">
      <w:pPr>
        <w:pStyle w:val="Paragraphedeliste"/>
        <w:numPr>
          <w:ilvl w:val="0"/>
          <w:numId w:val="1"/>
        </w:numPr>
        <w:tabs>
          <w:tab w:val="left" w:pos="1555"/>
          <w:tab w:val="left" w:pos="1557"/>
        </w:tabs>
        <w:spacing w:before="3" w:line="253" w:lineRule="exact"/>
      </w:pPr>
      <w:r>
        <w:t>soit par la production d'un acte de</w:t>
      </w:r>
      <w:r>
        <w:rPr>
          <w:spacing w:val="-5"/>
        </w:rPr>
        <w:t xml:space="preserve"> </w:t>
      </w:r>
      <w:r>
        <w:t>notoriété,</w:t>
      </w:r>
    </w:p>
    <w:p w:rsidR="00B14DAB" w:rsidRDefault="003B2E90">
      <w:pPr>
        <w:pStyle w:val="Paragraphedeliste"/>
        <w:numPr>
          <w:ilvl w:val="0"/>
          <w:numId w:val="1"/>
        </w:numPr>
        <w:tabs>
          <w:tab w:val="left" w:pos="1555"/>
          <w:tab w:val="left" w:pos="1557"/>
        </w:tabs>
        <w:ind w:right="768" w:hanging="360"/>
      </w:pPr>
      <w:r>
        <w:rPr>
          <w:w w:val="110"/>
        </w:rPr>
        <w:t>soit par la production d'une attestation signée de l'ensemble des héritiers, par lequel ils attestent</w:t>
      </w:r>
      <w:r>
        <w:rPr>
          <w:spacing w:val="-23"/>
          <w:w w:val="110"/>
        </w:rPr>
        <w:t xml:space="preserve"> </w:t>
      </w:r>
      <w:r>
        <w:rPr>
          <w:w w:val="110"/>
        </w:rPr>
        <w:t>:</w:t>
      </w:r>
    </w:p>
    <w:p w:rsidR="00B14DAB" w:rsidRDefault="003B2E90">
      <w:pPr>
        <w:pStyle w:val="Paragraphedeliste"/>
        <w:numPr>
          <w:ilvl w:val="1"/>
          <w:numId w:val="1"/>
        </w:numPr>
        <w:tabs>
          <w:tab w:val="left" w:pos="2509"/>
        </w:tabs>
        <w:spacing w:line="252" w:lineRule="exact"/>
      </w:pPr>
      <w:r>
        <w:t>Qu'il n'existe pas de testament ni d'autres héritiers du défunt</w:t>
      </w:r>
      <w:r>
        <w:rPr>
          <w:spacing w:val="-10"/>
        </w:rPr>
        <w:t xml:space="preserve"> </w:t>
      </w:r>
      <w:r>
        <w:t>;</w:t>
      </w:r>
    </w:p>
    <w:p w:rsidR="00B14DAB" w:rsidRDefault="003B2E90">
      <w:pPr>
        <w:pStyle w:val="Paragraphedeliste"/>
        <w:numPr>
          <w:ilvl w:val="1"/>
          <w:numId w:val="1"/>
        </w:numPr>
        <w:tabs>
          <w:tab w:val="left" w:pos="2509"/>
        </w:tabs>
        <w:spacing w:line="252" w:lineRule="exact"/>
      </w:pPr>
      <w:r>
        <w:t>Qu'il n'existe pas de contrat de mariage</w:t>
      </w:r>
      <w:r>
        <w:rPr>
          <w:spacing w:val="-7"/>
        </w:rPr>
        <w:t xml:space="preserve"> </w:t>
      </w:r>
      <w:r>
        <w:t>;</w:t>
      </w:r>
    </w:p>
    <w:p w:rsidR="00B14DAB" w:rsidRDefault="003B2E90">
      <w:pPr>
        <w:pStyle w:val="Paragraphedeliste"/>
        <w:numPr>
          <w:ilvl w:val="1"/>
          <w:numId w:val="1"/>
        </w:numPr>
        <w:tabs>
          <w:tab w:val="left" w:pos="2524"/>
        </w:tabs>
        <w:ind w:left="2252" w:right="772" w:firstLine="0"/>
      </w:pPr>
      <w:r>
        <w:t>Qu'ils autorisent le porteur du document à percevoir pour leur compte les sommes figurant sur les comptes du défunt ou à clôturer ces derniers</w:t>
      </w:r>
      <w:r>
        <w:rPr>
          <w:spacing w:val="-20"/>
        </w:rPr>
        <w:t xml:space="preserve"> </w:t>
      </w:r>
      <w:r>
        <w:t>;</w:t>
      </w:r>
    </w:p>
    <w:p w:rsidR="00B14DAB" w:rsidRDefault="003B2E90">
      <w:pPr>
        <w:pStyle w:val="Paragraphedeliste"/>
        <w:numPr>
          <w:ilvl w:val="1"/>
          <w:numId w:val="1"/>
        </w:numPr>
        <w:tabs>
          <w:tab w:val="left" w:pos="2514"/>
        </w:tabs>
        <w:ind w:left="2252" w:right="768" w:firstLine="0"/>
      </w:pPr>
      <w:r>
        <w:t>Qu'il n'y a ni procès, ni contestation en cours concernant la qualité d'héritier ou la composition de la</w:t>
      </w:r>
      <w:r>
        <w:rPr>
          <w:spacing w:val="-3"/>
        </w:rPr>
        <w:t xml:space="preserve"> </w:t>
      </w:r>
      <w:r>
        <w:t>succession.</w:t>
      </w:r>
    </w:p>
    <w:p w:rsidR="00B14DAB" w:rsidRDefault="00B14DAB">
      <w:pPr>
        <w:pStyle w:val="Corpsdetexte"/>
        <w:spacing w:before="5"/>
        <w:rPr>
          <w:sz w:val="24"/>
        </w:rPr>
      </w:pPr>
    </w:p>
    <w:p w:rsidR="00B14DAB" w:rsidRDefault="003B2E90">
      <w:pPr>
        <w:pStyle w:val="Corpsdetexte"/>
        <w:ind w:left="836" w:right="79"/>
      </w:pPr>
      <w:r>
        <w:t>Pour l'application du présent 2°, l'attestation mentionnée au cinquième alinéa doit également préciser que la succession ne comporte aucun bien immobilier.</w:t>
      </w:r>
    </w:p>
    <w:p w:rsidR="00B14DAB" w:rsidRDefault="00B14DAB">
      <w:pPr>
        <w:pStyle w:val="Corpsdetexte"/>
        <w:spacing w:before="1"/>
        <w:rPr>
          <w:sz w:val="24"/>
        </w:rPr>
      </w:pPr>
    </w:p>
    <w:p w:rsidR="00B14DAB" w:rsidRDefault="003B2E90">
      <w:pPr>
        <w:pStyle w:val="Corpsdetexte"/>
        <w:ind w:left="836"/>
      </w:pPr>
      <w:r>
        <w:rPr>
          <w:w w:val="115"/>
        </w:rPr>
        <w:t>Lorsque l'héritier produit l'attestation mentionnée au cinquième alinéa, il remet à l'établissement de crédit teneur des comptes :</w:t>
      </w:r>
    </w:p>
    <w:p w:rsidR="00B14DAB" w:rsidRDefault="003B2E90">
      <w:pPr>
        <w:pStyle w:val="Paragraphedeliste"/>
        <w:numPr>
          <w:ilvl w:val="0"/>
          <w:numId w:val="1"/>
        </w:numPr>
        <w:tabs>
          <w:tab w:val="left" w:pos="1555"/>
          <w:tab w:val="left" w:pos="1557"/>
        </w:tabs>
        <w:spacing w:before="3" w:line="253" w:lineRule="exact"/>
      </w:pPr>
      <w:r>
        <w:t>son extrait d'acte de naissance</w:t>
      </w:r>
      <w:r>
        <w:rPr>
          <w:spacing w:val="-3"/>
        </w:rPr>
        <w:t xml:space="preserve"> </w:t>
      </w:r>
      <w:r>
        <w:t>;</w:t>
      </w:r>
    </w:p>
    <w:p w:rsidR="00B14DAB" w:rsidRDefault="003B2E90">
      <w:pPr>
        <w:pStyle w:val="Paragraphedeliste"/>
        <w:numPr>
          <w:ilvl w:val="0"/>
          <w:numId w:val="1"/>
        </w:numPr>
        <w:tabs>
          <w:tab w:val="left" w:pos="1555"/>
          <w:tab w:val="left" w:pos="1557"/>
        </w:tabs>
        <w:spacing w:line="253" w:lineRule="exact"/>
      </w:pPr>
      <w:r>
        <w:t>un extrait d'acte de naissance du défunt et une copie intégrale de son acte de décès</w:t>
      </w:r>
      <w:r>
        <w:rPr>
          <w:spacing w:val="-26"/>
        </w:rPr>
        <w:t xml:space="preserve"> </w:t>
      </w:r>
      <w:r>
        <w:t>;</w:t>
      </w:r>
    </w:p>
    <w:p w:rsidR="00B14DAB" w:rsidRDefault="003B2E90">
      <w:pPr>
        <w:pStyle w:val="Paragraphedeliste"/>
        <w:numPr>
          <w:ilvl w:val="0"/>
          <w:numId w:val="1"/>
        </w:numPr>
        <w:tabs>
          <w:tab w:val="left" w:pos="1555"/>
          <w:tab w:val="left" w:pos="1557"/>
        </w:tabs>
        <w:spacing w:line="253" w:lineRule="exact"/>
      </w:pPr>
      <w:r>
        <w:t>le cas échéant, un extrait d'acte de mariage du défunt</w:t>
      </w:r>
      <w:r>
        <w:rPr>
          <w:spacing w:val="-6"/>
        </w:rPr>
        <w:t xml:space="preserve"> </w:t>
      </w:r>
      <w:r>
        <w:t>;</w:t>
      </w:r>
    </w:p>
    <w:p w:rsidR="00B14DAB" w:rsidRDefault="003B2E90">
      <w:pPr>
        <w:pStyle w:val="Paragraphedeliste"/>
        <w:numPr>
          <w:ilvl w:val="0"/>
          <w:numId w:val="1"/>
        </w:numPr>
        <w:tabs>
          <w:tab w:val="left" w:pos="1555"/>
          <w:tab w:val="left" w:pos="1557"/>
        </w:tabs>
        <w:ind w:right="769" w:hanging="360"/>
      </w:pPr>
      <w:r>
        <w:t>les extraits d'actes de naissance de chaque ayant droit désigné dans l'attestation susmentionnée</w:t>
      </w:r>
      <w:r>
        <w:rPr>
          <w:spacing w:val="-1"/>
        </w:rPr>
        <w:t xml:space="preserve"> </w:t>
      </w:r>
      <w:r>
        <w:t>;</w:t>
      </w:r>
    </w:p>
    <w:p w:rsidR="00B14DAB" w:rsidRDefault="003B2E90">
      <w:pPr>
        <w:pStyle w:val="Paragraphedeliste"/>
        <w:numPr>
          <w:ilvl w:val="0"/>
          <w:numId w:val="1"/>
        </w:numPr>
        <w:tabs>
          <w:tab w:val="left" w:pos="1555"/>
          <w:tab w:val="left" w:pos="1557"/>
        </w:tabs>
        <w:spacing w:line="253" w:lineRule="exact"/>
      </w:pPr>
      <w:r>
        <w:t>un certificat d'absence d'inscription de dispositions de dernières</w:t>
      </w:r>
      <w:r>
        <w:rPr>
          <w:spacing w:val="-8"/>
        </w:rPr>
        <w:t xml:space="preserve"> </w:t>
      </w:r>
      <w:r>
        <w:t>volontés.</w:t>
      </w:r>
    </w:p>
    <w:sectPr w:rsidR="00B14DAB">
      <w:pgSz w:w="11900" w:h="16840"/>
      <w:pgMar w:top="72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0748"/>
    <w:multiLevelType w:val="hybridMultilevel"/>
    <w:tmpl w:val="2D3008C2"/>
    <w:lvl w:ilvl="0" w:tplc="577EE3B8">
      <w:numFmt w:val="bullet"/>
      <w:lvlText w:val="-"/>
      <w:lvlJc w:val="left"/>
      <w:pPr>
        <w:ind w:left="1556" w:hanging="361"/>
      </w:pPr>
      <w:rPr>
        <w:rFonts w:ascii="Times New Roman" w:eastAsia="Times New Roman" w:hAnsi="Times New Roman" w:cs="Times New Roman" w:hint="default"/>
        <w:w w:val="100"/>
        <w:sz w:val="22"/>
        <w:szCs w:val="22"/>
        <w:lang w:val="fr-FR" w:eastAsia="fr-FR" w:bidi="fr-FR"/>
      </w:rPr>
    </w:lvl>
    <w:lvl w:ilvl="1" w:tplc="895034BE">
      <w:start w:val="1"/>
      <w:numFmt w:val="lowerLetter"/>
      <w:lvlText w:val="%2)"/>
      <w:lvlJc w:val="left"/>
      <w:pPr>
        <w:ind w:left="2508" w:hanging="257"/>
        <w:jc w:val="left"/>
      </w:pPr>
      <w:rPr>
        <w:rFonts w:ascii="Arial" w:eastAsia="Arial" w:hAnsi="Arial" w:cs="Arial" w:hint="default"/>
        <w:spacing w:val="-1"/>
        <w:w w:val="100"/>
        <w:sz w:val="22"/>
        <w:szCs w:val="22"/>
        <w:lang w:val="fr-FR" w:eastAsia="fr-FR" w:bidi="fr-FR"/>
      </w:rPr>
    </w:lvl>
    <w:lvl w:ilvl="2" w:tplc="D0BA0DF4">
      <w:numFmt w:val="bullet"/>
      <w:lvlText w:val="•"/>
      <w:lvlJc w:val="left"/>
      <w:pPr>
        <w:ind w:left="3408" w:hanging="257"/>
      </w:pPr>
      <w:rPr>
        <w:rFonts w:hint="default"/>
        <w:lang w:val="fr-FR" w:eastAsia="fr-FR" w:bidi="fr-FR"/>
      </w:rPr>
    </w:lvl>
    <w:lvl w:ilvl="3" w:tplc="C63A56F4">
      <w:numFmt w:val="bullet"/>
      <w:lvlText w:val="•"/>
      <w:lvlJc w:val="left"/>
      <w:pPr>
        <w:ind w:left="4317" w:hanging="257"/>
      </w:pPr>
      <w:rPr>
        <w:rFonts w:hint="default"/>
        <w:lang w:val="fr-FR" w:eastAsia="fr-FR" w:bidi="fr-FR"/>
      </w:rPr>
    </w:lvl>
    <w:lvl w:ilvl="4" w:tplc="35BCB89C">
      <w:numFmt w:val="bullet"/>
      <w:lvlText w:val="•"/>
      <w:lvlJc w:val="left"/>
      <w:pPr>
        <w:ind w:left="5226" w:hanging="257"/>
      </w:pPr>
      <w:rPr>
        <w:rFonts w:hint="default"/>
        <w:lang w:val="fr-FR" w:eastAsia="fr-FR" w:bidi="fr-FR"/>
      </w:rPr>
    </w:lvl>
    <w:lvl w:ilvl="5" w:tplc="BEDCA5DC">
      <w:numFmt w:val="bullet"/>
      <w:lvlText w:val="•"/>
      <w:lvlJc w:val="left"/>
      <w:pPr>
        <w:ind w:left="6135" w:hanging="257"/>
      </w:pPr>
      <w:rPr>
        <w:rFonts w:hint="default"/>
        <w:lang w:val="fr-FR" w:eastAsia="fr-FR" w:bidi="fr-FR"/>
      </w:rPr>
    </w:lvl>
    <w:lvl w:ilvl="6" w:tplc="7ED67F5C">
      <w:numFmt w:val="bullet"/>
      <w:lvlText w:val="•"/>
      <w:lvlJc w:val="left"/>
      <w:pPr>
        <w:ind w:left="7044" w:hanging="257"/>
      </w:pPr>
      <w:rPr>
        <w:rFonts w:hint="default"/>
        <w:lang w:val="fr-FR" w:eastAsia="fr-FR" w:bidi="fr-FR"/>
      </w:rPr>
    </w:lvl>
    <w:lvl w:ilvl="7" w:tplc="4ED6F65E">
      <w:numFmt w:val="bullet"/>
      <w:lvlText w:val="•"/>
      <w:lvlJc w:val="left"/>
      <w:pPr>
        <w:ind w:left="7953" w:hanging="257"/>
      </w:pPr>
      <w:rPr>
        <w:rFonts w:hint="default"/>
        <w:lang w:val="fr-FR" w:eastAsia="fr-FR" w:bidi="fr-FR"/>
      </w:rPr>
    </w:lvl>
    <w:lvl w:ilvl="8" w:tplc="28E8A98E">
      <w:numFmt w:val="bullet"/>
      <w:lvlText w:val="•"/>
      <w:lvlJc w:val="left"/>
      <w:pPr>
        <w:ind w:left="8862" w:hanging="25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oFRho2lAvtZAKwKWKGofRefcuUE=" w:salt="RG0LAxXlYG+1G2wL7/sXRQ=="/>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AB"/>
    <w:rsid w:val="003B2E90"/>
    <w:rsid w:val="00AF486E"/>
    <w:rsid w:val="00B14DAB"/>
    <w:rsid w:val="00C34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F16F0-FE09-441A-A8DD-253B8906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55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3405</Characters>
  <Application>Microsoft Office Word</Application>
  <DocSecurity>12</DocSecurity>
  <Lines>28</Lines>
  <Paragraphs>8</Paragraphs>
  <ScaleCrop>false</ScaleCrop>
  <HeadingPairs>
    <vt:vector size="2" baseType="variant">
      <vt:variant>
        <vt:lpstr>Titre</vt:lpstr>
      </vt:variant>
      <vt:variant>
        <vt:i4>1</vt:i4>
      </vt:variant>
    </vt:vector>
  </HeadingPairs>
  <TitlesOfParts>
    <vt:vector size="1" baseType="lpstr">
      <vt:lpstr>Microsoft Word - ATTESTATION_CERTIFICAT_HEREDITE_USAGER_2015.doc</vt:lpstr>
    </vt:vector>
  </TitlesOfParts>
  <Company>Ville de Grenoble</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ATTESTATION_CERTIFICAT_HEREDITE_USAGER_2015.doc</dc:title>
  <dc:creator>xvanpeene</dc:creator>
  <cp:lastModifiedBy>Valerie Fruitier</cp:lastModifiedBy>
  <cp:revision>2</cp:revision>
  <dcterms:created xsi:type="dcterms:W3CDTF">2021-03-11T10:47:00Z</dcterms:created>
  <dcterms:modified xsi:type="dcterms:W3CDTF">2021-03-11T10:47:00Z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PrimoPDF http://www.primopdf.com</vt:lpwstr>
  </property>
  <property fmtid="{D5CDD505-2E9C-101B-9397-08002B2CF9AE}" pid="4" name="LastSaved">
    <vt:filetime>2020-07-02T00:00:00Z</vt:filetime>
  </property>
</Properties>
</file>